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EE0649" w:rsidP="007B05C0">
      <w:pPr>
        <w:pStyle w:val="NormalWeb"/>
        <w:spacing w:after="0" w:afterAutospacing="0"/>
      </w:pPr>
      <w:r>
        <w:t>Podgorica 14</w:t>
      </w:r>
      <w:r w:rsidR="007B05C0" w:rsidRPr="007B05C0">
        <w:t>.</w:t>
      </w:r>
      <w:r w:rsidR="00177449">
        <w:t>1</w:t>
      </w:r>
      <w:r w:rsidR="002A6F75">
        <w:t>1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EE0649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EE0649">
        <w:t>neobjavljivanja</w:t>
      </w:r>
      <w:proofErr w:type="spellEnd"/>
      <w:r w:rsidR="00EE0649">
        <w:t xml:space="preserve"> </w:t>
      </w:r>
      <w:proofErr w:type="spellStart"/>
      <w:r w:rsidR="00EE0649">
        <w:t>reagovanja</w:t>
      </w:r>
      <w:proofErr w:type="spellEnd"/>
      <w:r w:rsidR="00EE0649">
        <w:t xml:space="preserve"> PR </w:t>
      </w:r>
      <w:proofErr w:type="spellStart"/>
      <w:r w:rsidR="00EE0649">
        <w:t>službe</w:t>
      </w:r>
      <w:proofErr w:type="spellEnd"/>
      <w:r w:rsidR="00EE0649">
        <w:t xml:space="preserve"> </w:t>
      </w:r>
      <w:proofErr w:type="spellStart"/>
      <w:r w:rsidR="00EE0649">
        <w:t>Ministarstva</w:t>
      </w:r>
      <w:proofErr w:type="spellEnd"/>
      <w:r w:rsidR="00EE0649">
        <w:t xml:space="preserve"> </w:t>
      </w:r>
      <w:proofErr w:type="spellStart"/>
      <w:r w:rsidR="00EE0649">
        <w:t>poljoprivrede</w:t>
      </w:r>
      <w:proofErr w:type="spellEnd"/>
      <w:r w:rsidR="00EE0649">
        <w:t xml:space="preserve"> u </w:t>
      </w:r>
      <w:proofErr w:type="spellStart"/>
      <w:r w:rsidR="00EE0649">
        <w:t>dnevnoj</w:t>
      </w:r>
      <w:proofErr w:type="spellEnd"/>
      <w:r w:rsidR="00EE0649">
        <w:t xml:space="preserve"> </w:t>
      </w:r>
      <w:proofErr w:type="spellStart"/>
      <w:r w:rsidR="00EE0649">
        <w:t>novini</w:t>
      </w:r>
      <w:proofErr w:type="spellEnd"/>
      <w:r w:rsidR="00EE0649">
        <w:t xml:space="preserve"> Dan.</w:t>
      </w: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927A7C" w:rsidRDefault="00927A7C" w:rsidP="00927A7C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Komisija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žalbe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konstatuje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bila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obaveza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dnevne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Dan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PR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službe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Minsitarstva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poljoprivrede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pravo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javnosti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sazna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punu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određenoj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pojavi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bilo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preče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odnosa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vladinom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resoru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šta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pozvala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kao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razlog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neobjavljivanje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. </w:t>
      </w:r>
    </w:p>
    <w:p w:rsidR="00927A7C" w:rsidRDefault="00927A7C" w:rsidP="00927A7C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Dnevna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Dan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odlučila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ne</w:t>
      </w:r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dobijeno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prećuti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razloge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njegovo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neobjavljivanje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Time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priča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aktuelizovana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tekstu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Dobio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kredit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pilanu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, a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nije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imao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koncesije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ostala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nedorečena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necjelovita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zbog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izostanka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ponudila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druga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strana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proofErr w:type="gramEnd"/>
    </w:p>
    <w:p w:rsidR="00EF78FB" w:rsidRDefault="00927A7C" w:rsidP="00927A7C">
      <w:pPr>
        <w:pStyle w:val="NormalWeb"/>
        <w:spacing w:after="0" w:afterAutospacing="0"/>
        <w:rPr>
          <w:b/>
          <w:bCs/>
          <w:i/>
          <w:iCs/>
          <w:sz w:val="27"/>
          <w:szCs w:val="27"/>
        </w:rPr>
      </w:pPr>
      <w:proofErr w:type="spellStart"/>
      <w:r>
        <w:rPr>
          <w:rFonts w:eastAsia="Times New Roman"/>
          <w:bCs/>
          <w:color w:val="000000"/>
          <w:lang w:eastAsia="en-GB"/>
        </w:rPr>
        <w:t>Komisija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za </w:t>
      </w:r>
      <w:proofErr w:type="spellStart"/>
      <w:r>
        <w:rPr>
          <w:rFonts w:eastAsia="Times New Roman"/>
          <w:bCs/>
          <w:color w:val="000000"/>
          <w:lang w:eastAsia="en-GB"/>
        </w:rPr>
        <w:t>žalbe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konstatuje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da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je </w:t>
      </w:r>
      <w:proofErr w:type="spellStart"/>
      <w:proofErr w:type="gramStart"/>
      <w:r>
        <w:rPr>
          <w:rFonts w:eastAsia="Times New Roman"/>
          <w:bCs/>
          <w:color w:val="000000"/>
          <w:lang w:eastAsia="en-GB"/>
        </w:rPr>
        <w:t>na</w:t>
      </w:r>
      <w:proofErr w:type="spellEnd"/>
      <w:proofErr w:type="gram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ovaj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način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prekršeno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načelo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III </w:t>
      </w:r>
      <w:proofErr w:type="spellStart"/>
      <w:r>
        <w:rPr>
          <w:rFonts w:eastAsia="Times New Roman"/>
          <w:bCs/>
          <w:color w:val="000000"/>
          <w:lang w:eastAsia="en-GB"/>
        </w:rPr>
        <w:t>Kodeksa</w:t>
      </w:r>
      <w:proofErr w:type="spellEnd"/>
      <w:r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/>
          <w:bCs/>
          <w:color w:val="000000"/>
          <w:lang w:eastAsia="en-GB"/>
        </w:rPr>
        <w:t>novinara</w:t>
      </w:r>
      <w:proofErr w:type="spellEnd"/>
      <w:r>
        <w:rPr>
          <w:rFonts w:eastAsia="Times New Roman"/>
          <w:bCs/>
          <w:color w:val="000000"/>
          <w:lang w:eastAsia="en-GB"/>
        </w:rPr>
        <w:t>.</w:t>
      </w: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520163" w:rsidRPr="00520163" w:rsidRDefault="007B05C0" w:rsidP="0052016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77536">
        <w:rPr>
          <w:rFonts w:ascii="Times New Roman" w:hAnsi="Times New Roman"/>
          <w:sz w:val="24"/>
          <w:szCs w:val="24"/>
        </w:rPr>
        <w:t>samoregulaciju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77536">
        <w:rPr>
          <w:rFonts w:ascii="Times New Roman" w:hAnsi="Times New Roman"/>
          <w:sz w:val="24"/>
          <w:szCs w:val="24"/>
        </w:rPr>
        <w:t>dobio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žalbu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od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r w:rsidR="00520163">
        <w:rPr>
          <w:rFonts w:ascii="Times New Roman" w:hAnsi="Times New Roman"/>
          <w:sz w:val="24"/>
          <w:szCs w:val="24"/>
        </w:rPr>
        <w:t xml:space="preserve">PR </w:t>
      </w:r>
      <w:proofErr w:type="spellStart"/>
      <w:r w:rsidR="00520163">
        <w:rPr>
          <w:rFonts w:ascii="Times New Roman" w:hAnsi="Times New Roman"/>
          <w:sz w:val="24"/>
          <w:szCs w:val="24"/>
        </w:rPr>
        <w:t>službe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Ministarstva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poljoprivrede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zbog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odbijanja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dnevne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novine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520163">
        <w:rPr>
          <w:rFonts w:ascii="Times New Roman" w:hAnsi="Times New Roman"/>
          <w:sz w:val="24"/>
          <w:szCs w:val="24"/>
        </w:rPr>
        <w:t>da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objavi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njihovo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reagovanje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na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163">
        <w:rPr>
          <w:rFonts w:ascii="Times New Roman" w:hAnsi="Times New Roman"/>
          <w:sz w:val="24"/>
          <w:szCs w:val="24"/>
        </w:rPr>
        <w:t>tekst</w:t>
      </w:r>
      <w:proofErr w:type="spellEnd"/>
      <w:r w:rsidR="00520163">
        <w:rPr>
          <w:rFonts w:ascii="Times New Roman" w:hAnsi="Times New Roman"/>
          <w:sz w:val="24"/>
          <w:szCs w:val="24"/>
        </w:rPr>
        <w:t xml:space="preserve"> </w:t>
      </w:r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proofErr w:type="spellStart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Dobio</w:t>
      </w:r>
      <w:proofErr w:type="spellEnd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kredit</w:t>
      </w:r>
      <w:proofErr w:type="spellEnd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pilanu</w:t>
      </w:r>
      <w:proofErr w:type="spellEnd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, a </w:t>
      </w:r>
      <w:proofErr w:type="spellStart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nije</w:t>
      </w:r>
      <w:proofErr w:type="spellEnd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imao</w:t>
      </w:r>
      <w:proofErr w:type="spellEnd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koncesije</w:t>
      </w:r>
      <w:proofErr w:type="spellEnd"/>
      <w:r w:rsidR="00520163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E4028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koji</w:t>
      </w:r>
      <w:proofErr w:type="spellEnd"/>
      <w:r w:rsidR="00E4028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objavljen</w:t>
      </w:r>
      <w:proofErr w:type="spellEnd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03. </w:t>
      </w:r>
      <w:proofErr w:type="spellStart"/>
      <w:r w:rsidR="00E4028C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</w:t>
      </w:r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vgusta</w:t>
      </w:r>
      <w:proofErr w:type="spellEnd"/>
      <w:r w:rsidR="00E4028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2016 u </w:t>
      </w:r>
      <w:proofErr w:type="spellStart"/>
      <w:r w:rsidR="00E4028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toj</w:t>
      </w:r>
      <w:proofErr w:type="spellEnd"/>
      <w:r w:rsidR="00E4028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4028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novini</w:t>
      </w:r>
      <w:proofErr w:type="spellEnd"/>
      <w:r w:rsidR="00F2236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F2236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="00F2236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2236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strani</w:t>
      </w:r>
      <w:proofErr w:type="spellEnd"/>
      <w:r w:rsidR="00F22366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6.</w:t>
      </w:r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u</w:t>
      </w:r>
      <w:proofErr w:type="gramEnd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rubrici</w:t>
      </w:r>
      <w:proofErr w:type="spellEnd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Ekonomija</w:t>
      </w:r>
      <w:proofErr w:type="spellEnd"/>
      <w:r w:rsid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r w:rsidR="00520163" w:rsidRPr="00520163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</w:p>
    <w:p w:rsidR="007E5077" w:rsidRDefault="007E5077" w:rsidP="00577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6A8" w:rsidRDefault="005776A8" w:rsidP="005776A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Sporni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bavi</w:t>
      </w:r>
      <w:proofErr w:type="spellEnd"/>
      <w:r w:rsidR="004F5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5BE">
        <w:rPr>
          <w:rFonts w:ascii="Times New Roman" w:hAnsi="Times New Roman"/>
          <w:sz w:val="24"/>
          <w:szCs w:val="24"/>
        </w:rPr>
        <w:t>navodnim</w:t>
      </w:r>
      <w:proofErr w:type="spellEnd"/>
      <w:r w:rsidR="004F5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5BE">
        <w:rPr>
          <w:rFonts w:ascii="Times New Roman" w:hAnsi="Times New Roman"/>
          <w:sz w:val="24"/>
          <w:szCs w:val="24"/>
        </w:rPr>
        <w:t>privilegijama</w:t>
      </w:r>
      <w:proofErr w:type="spellEnd"/>
      <w:r w:rsidR="004F5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5BE">
        <w:rPr>
          <w:rFonts w:ascii="Times New Roman" w:hAnsi="Times New Roman"/>
          <w:sz w:val="24"/>
          <w:szCs w:val="24"/>
        </w:rPr>
        <w:t>koje</w:t>
      </w:r>
      <w:proofErr w:type="spellEnd"/>
      <w:r w:rsidR="004F55BE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4F55BE">
        <w:rPr>
          <w:rFonts w:ascii="Times New Roman" w:hAnsi="Times New Roman"/>
          <w:sz w:val="24"/>
          <w:szCs w:val="24"/>
        </w:rPr>
        <w:t>dobila</w:t>
      </w:r>
      <w:proofErr w:type="spellEnd"/>
      <w:r>
        <w:rPr>
          <w:rFonts w:ascii="Times New Roman" w:hAnsi="Times New Roman"/>
          <w:sz w:val="24"/>
          <w:szCs w:val="24"/>
        </w:rPr>
        <w:t xml:space="preserve"> firma </w:t>
      </w:r>
      <w:r>
        <w:rPr>
          <w:rFonts w:ascii="Times New Roman" w:hAnsi="Times New Roman"/>
          <w:sz w:val="24"/>
          <w:szCs w:val="24"/>
          <w:lang w:val="sr-Latn-CS"/>
        </w:rPr>
        <w:t>„Pelengić trejd“ i koju direktor NVO Centar za razvoj Durmitora Darko Stijepović proziva da je prošle godine dobila koncesije za ekspolataciju 6 000 metara kubnih drveta po cijeni od 25 eura po kubiku.</w:t>
      </w:r>
      <w:r w:rsidRPr="005776A8">
        <w:rPr>
          <w:rFonts w:ascii="HiddenHorzOCR" w:eastAsia="HiddenHorzOCR" w:cs="HiddenHorzOCR" w:hint="eastAsia"/>
          <w:color w:val="3A3A36"/>
          <w:sz w:val="12"/>
          <w:szCs w:val="12"/>
        </w:rPr>
        <w:t xml:space="preserve"> </w:t>
      </w:r>
      <w:proofErr w:type="spellStart"/>
      <w:r w:rsidRPr="00F22366">
        <w:rPr>
          <w:rFonts w:ascii="Times New Roman" w:eastAsia="HiddenHorzOCR" w:hAnsi="Times New Roman"/>
          <w:sz w:val="24"/>
          <w:szCs w:val="24"/>
        </w:rPr>
        <w:t>Nаkon</w:t>
      </w:r>
      <w:proofErr w:type="spellEnd"/>
      <w:r w:rsidRPr="00F22366">
        <w:rPr>
          <w:rFonts w:ascii="Times New Roman" w:eastAsia="HiddenHorzOCR" w:hAnsi="Times New Roman"/>
          <w:sz w:val="24"/>
          <w:szCs w:val="24"/>
        </w:rPr>
        <w:t xml:space="preserve"> toga,</w:t>
      </w:r>
      <w:r w:rsidRPr="005776A8">
        <w:rPr>
          <w:rFonts w:ascii="Times New Roman" w:eastAsia="HiddenHorzOCR" w:hAnsi="Times New Roman"/>
          <w:color w:val="4E4F4A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ista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firma je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dobila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1</w:t>
      </w:r>
      <w:proofErr w:type="gramStart"/>
      <w:r w:rsidRPr="005776A8">
        <w:rPr>
          <w:rFonts w:ascii="Times New Roman" w:eastAsia="HiddenHorzOCR" w:hAnsi="Times New Roman"/>
          <w:sz w:val="24"/>
          <w:szCs w:val="24"/>
        </w:rPr>
        <w:t>,35</w:t>
      </w:r>
      <w:proofErr w:type="gram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miliona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eura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F22366">
        <w:rPr>
          <w:rFonts w:ascii="Times New Roman" w:eastAsia="HiddenHorzOCR" w:hAnsi="Times New Roman"/>
          <w:sz w:val="24"/>
          <w:szCs w:val="24"/>
        </w:rPr>
        <w:t>iz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Abu </w:t>
      </w:r>
      <w:proofErr w:type="spellStart"/>
      <w:r w:rsidR="00F22366">
        <w:rPr>
          <w:rFonts w:ascii="Times New Roman" w:eastAsia="HiddenHorzOCR" w:hAnsi="Times New Roman"/>
          <w:sz w:val="24"/>
          <w:szCs w:val="24"/>
        </w:rPr>
        <w:t>Dabi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F22366">
        <w:rPr>
          <w:rFonts w:ascii="Times New Roman" w:eastAsia="HiddenHorzOCR" w:hAnsi="Times New Roman"/>
          <w:sz w:val="24"/>
          <w:szCs w:val="24"/>
        </w:rPr>
        <w:t>fonda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r>
        <w:rPr>
          <w:rFonts w:ascii="Times New Roman" w:eastAsia="HiddenHorzOCR" w:hAnsi="Times New Roman"/>
          <w:sz w:val="24"/>
          <w:szCs w:val="24"/>
        </w:rPr>
        <w:t>za</w:t>
      </w:r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iddenHorzOCR" w:hAnsi="Times New Roman"/>
          <w:sz w:val="24"/>
          <w:szCs w:val="24"/>
        </w:rPr>
        <w:t>razvoj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iddenHorzOCR" w:hAnsi="Times New Roman"/>
          <w:sz w:val="24"/>
          <w:szCs w:val="24"/>
        </w:rPr>
        <w:t>projekta</w:t>
      </w:r>
      <w:proofErr w:type="spellEnd"/>
      <w:r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HiddenHorzOCR" w:hAnsi="Times New Roman"/>
          <w:sz w:val="24"/>
          <w:szCs w:val="24"/>
        </w:rPr>
        <w:t>drvoprerade</w:t>
      </w:r>
      <w:proofErr w:type="spellEnd"/>
      <w:r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na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Nj</w:t>
      </w:r>
      <w:r w:rsidRPr="005776A8">
        <w:rPr>
          <w:rFonts w:ascii="Times New Roman" w:eastAsia="HiddenHorzOCR" w:hAnsi="Times New Roman"/>
          <w:sz w:val="24"/>
          <w:szCs w:val="24"/>
        </w:rPr>
        <w:t>eg</w:t>
      </w:r>
      <w:r w:rsidR="007E5077">
        <w:rPr>
          <w:rFonts w:ascii="Times New Roman" w:eastAsia="HiddenHorzOCR" w:hAnsi="Times New Roman"/>
          <w:sz w:val="24"/>
          <w:szCs w:val="24"/>
        </w:rPr>
        <w:t>o</w:t>
      </w:r>
      <w:r w:rsidRPr="005776A8">
        <w:rPr>
          <w:rFonts w:ascii="Times New Roman" w:eastAsia="HiddenHorzOCR" w:hAnsi="Times New Roman"/>
          <w:sz w:val="24"/>
          <w:szCs w:val="24"/>
        </w:rPr>
        <w:t>v</w:t>
      </w:r>
      <w:r w:rsidR="007E5077">
        <w:rPr>
          <w:rFonts w:ascii="Times New Roman" w:eastAsia="HiddenHorzOCR" w:hAnsi="Times New Roman"/>
          <w:sz w:val="24"/>
          <w:szCs w:val="24"/>
        </w:rPr>
        <w:t>u</w:t>
      </w:r>
      <w:r w:rsidRPr="005776A8">
        <w:rPr>
          <w:rFonts w:ascii="Times New Roman" w:eastAsia="HiddenHorzOCR" w:hAnsi="Times New Roman"/>
          <w:sz w:val="24"/>
          <w:szCs w:val="24"/>
        </w:rPr>
        <w:t>đi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, a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uslov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za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dobijanje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kredita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za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taj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projekat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bile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su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upravo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5776A8">
        <w:rPr>
          <w:rFonts w:ascii="Times New Roman" w:eastAsia="HiddenHorzOCR" w:hAnsi="Times New Roman"/>
          <w:sz w:val="24"/>
          <w:szCs w:val="24"/>
        </w:rPr>
        <w:t>koncesije</w:t>
      </w:r>
      <w:proofErr w:type="spellEnd"/>
      <w:r w:rsidRPr="005776A8">
        <w:rPr>
          <w:rFonts w:ascii="Times New Roman" w:eastAsia="HiddenHorzOCR" w:hAnsi="Times New Roman"/>
          <w:sz w:val="24"/>
          <w:szCs w:val="24"/>
        </w:rPr>
        <w:t>.</w:t>
      </w:r>
      <w:r w:rsidR="007E5077">
        <w:rPr>
          <w:rFonts w:ascii="Times New Roman" w:eastAsia="HiddenHorzOCR" w:hAnsi="Times New Roman"/>
          <w:sz w:val="24"/>
          <w:szCs w:val="24"/>
        </w:rPr>
        <w:t xml:space="preserve"> U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nejasnom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tekstu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se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nešto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kasnije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tvrdi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da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proofErr w:type="gramStart"/>
      <w:r w:rsidR="007E5077">
        <w:rPr>
          <w:rFonts w:ascii="Times New Roman" w:eastAsia="HiddenHorzOCR" w:hAnsi="Times New Roman"/>
          <w:sz w:val="24"/>
          <w:szCs w:val="24"/>
        </w:rPr>
        <w:t>će</w:t>
      </w:r>
      <w:proofErr w:type="spellEnd"/>
      <w:proofErr w:type="gram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ta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firma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ove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godine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sjeći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26 000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metara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kubnih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u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opštini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Žabljak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po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cijeni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od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13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eura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. U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sledećem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dijelu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teksta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se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pak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konstatuje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da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tender za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koncesije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nije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završen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, a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da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je firma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Pelengić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trejd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ipak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dobila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kredit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iz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Abu </w:t>
      </w:r>
      <w:proofErr w:type="spellStart"/>
      <w:r w:rsidR="007E5077">
        <w:rPr>
          <w:rFonts w:ascii="Times New Roman" w:eastAsia="HiddenHorzOCR" w:hAnsi="Times New Roman"/>
          <w:sz w:val="24"/>
          <w:szCs w:val="24"/>
        </w:rPr>
        <w:t>Dabi</w:t>
      </w:r>
      <w:proofErr w:type="spellEnd"/>
      <w:r w:rsidR="007E5077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proofErr w:type="gramStart"/>
      <w:r w:rsidR="007E5077">
        <w:rPr>
          <w:rFonts w:ascii="Times New Roman" w:eastAsia="HiddenHorzOCR" w:hAnsi="Times New Roman"/>
          <w:sz w:val="24"/>
          <w:szCs w:val="24"/>
        </w:rPr>
        <w:t>fonda</w:t>
      </w:r>
      <w:proofErr w:type="spellEnd"/>
      <w:proofErr w:type="gram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2D07BE">
        <w:rPr>
          <w:rFonts w:ascii="Times New Roman" w:eastAsia="HiddenHorzOCR" w:hAnsi="Times New Roman"/>
          <w:sz w:val="24"/>
          <w:szCs w:val="24"/>
        </w:rPr>
        <w:t>i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F22366">
        <w:rPr>
          <w:rFonts w:ascii="Times New Roman" w:eastAsia="HiddenHorzOCR" w:hAnsi="Times New Roman"/>
          <w:sz w:val="24"/>
          <w:szCs w:val="24"/>
        </w:rPr>
        <w:t>da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je</w:t>
      </w:r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bez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dobijene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koncesije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na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tender</w:t>
      </w:r>
      <w:r w:rsidR="00F22366">
        <w:rPr>
          <w:rFonts w:ascii="Times New Roman" w:eastAsia="HiddenHorzOCR" w:hAnsi="Times New Roman"/>
          <w:sz w:val="24"/>
          <w:szCs w:val="24"/>
        </w:rPr>
        <w:t>u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počela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realizaciju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projekta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bez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ijedne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E11F41">
        <w:rPr>
          <w:rFonts w:ascii="Times New Roman" w:eastAsia="HiddenHorzOCR" w:hAnsi="Times New Roman"/>
          <w:sz w:val="24"/>
          <w:szCs w:val="24"/>
        </w:rPr>
        <w:t>dozvole</w:t>
      </w:r>
      <w:proofErr w:type="spellEnd"/>
      <w:r w:rsidR="00E11F41">
        <w:rPr>
          <w:rFonts w:ascii="Times New Roman" w:eastAsia="HiddenHorzOCR" w:hAnsi="Times New Roman"/>
          <w:sz w:val="24"/>
          <w:szCs w:val="24"/>
        </w:rPr>
        <w:t>.</w:t>
      </w:r>
      <w:r w:rsidR="000855C8">
        <w:rPr>
          <w:rFonts w:ascii="Times New Roman" w:eastAsia="HiddenHorzOCR" w:hAnsi="Times New Roman"/>
          <w:sz w:val="24"/>
          <w:szCs w:val="24"/>
        </w:rPr>
        <w:t xml:space="preserve"> U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prilično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konfuznom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tekstu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novinar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nije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zatr</w:t>
      </w:r>
      <w:r w:rsidR="004F55BE">
        <w:rPr>
          <w:rFonts w:ascii="Times New Roman" w:eastAsia="HiddenHorzOCR" w:hAnsi="Times New Roman"/>
          <w:sz w:val="24"/>
          <w:szCs w:val="24"/>
        </w:rPr>
        <w:t>a</w:t>
      </w:r>
      <w:r w:rsidR="000855C8">
        <w:rPr>
          <w:rFonts w:ascii="Times New Roman" w:eastAsia="HiddenHorzOCR" w:hAnsi="Times New Roman"/>
          <w:sz w:val="24"/>
          <w:szCs w:val="24"/>
        </w:rPr>
        <w:t>žio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stav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druge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strane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,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odnosno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Ministarstva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poljoprivrede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,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da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odgovori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proofErr w:type="gramStart"/>
      <w:r w:rsidR="000855C8">
        <w:rPr>
          <w:rFonts w:ascii="Times New Roman" w:eastAsia="HiddenHorzOCR" w:hAnsi="Times New Roman"/>
          <w:sz w:val="24"/>
          <w:szCs w:val="24"/>
        </w:rPr>
        <w:t>na</w:t>
      </w:r>
      <w:proofErr w:type="spellEnd"/>
      <w:proofErr w:type="gramEnd"/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optužbe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F22366">
        <w:rPr>
          <w:rFonts w:ascii="Times New Roman" w:eastAsia="HiddenHorzOCR" w:hAnsi="Times New Roman"/>
          <w:sz w:val="24"/>
          <w:szCs w:val="24"/>
        </w:rPr>
        <w:t>koje</w:t>
      </w:r>
      <w:proofErr w:type="spellEnd"/>
      <w:r w:rsidR="00F22366">
        <w:rPr>
          <w:rFonts w:ascii="Times New Roman" w:eastAsia="HiddenHorzOCR" w:hAnsi="Times New Roman"/>
          <w:sz w:val="24"/>
          <w:szCs w:val="24"/>
        </w:rPr>
        <w:t xml:space="preserve"> je </w:t>
      </w:r>
      <w:proofErr w:type="spellStart"/>
      <w:r w:rsidR="00F22366">
        <w:rPr>
          <w:rFonts w:ascii="Times New Roman" w:eastAsia="HiddenHorzOCR" w:hAnsi="Times New Roman"/>
          <w:sz w:val="24"/>
          <w:szCs w:val="24"/>
        </w:rPr>
        <w:t>iznio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 xml:space="preserve"> Dark</w:t>
      </w:r>
      <w:r w:rsidR="00F22366">
        <w:rPr>
          <w:rFonts w:ascii="Times New Roman" w:eastAsia="HiddenHorzOCR" w:hAnsi="Times New Roman"/>
          <w:sz w:val="24"/>
          <w:szCs w:val="24"/>
        </w:rPr>
        <w:t>o</w:t>
      </w:r>
      <w:r w:rsid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0855C8">
        <w:rPr>
          <w:rFonts w:ascii="Times New Roman" w:eastAsia="HiddenHorzOCR" w:hAnsi="Times New Roman"/>
          <w:sz w:val="24"/>
          <w:szCs w:val="24"/>
        </w:rPr>
        <w:t>Stijepović</w:t>
      </w:r>
      <w:proofErr w:type="spellEnd"/>
      <w:r w:rsidR="000855C8">
        <w:rPr>
          <w:rFonts w:ascii="Times New Roman" w:eastAsia="HiddenHorzOCR" w:hAnsi="Times New Roman"/>
          <w:sz w:val="24"/>
          <w:szCs w:val="24"/>
        </w:rPr>
        <w:t>.</w:t>
      </w:r>
    </w:p>
    <w:p w:rsidR="000855C8" w:rsidRDefault="000855C8" w:rsidP="005776A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</w:rPr>
      </w:pPr>
    </w:p>
    <w:p w:rsidR="000855C8" w:rsidRPr="00BE6911" w:rsidRDefault="000855C8" w:rsidP="000855C8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i/>
          <w:color w:val="000000"/>
          <w:sz w:val="24"/>
          <w:szCs w:val="18"/>
          <w:lang w:eastAsia="en-GB"/>
        </w:rPr>
      </w:pPr>
      <w:r w:rsidRPr="000855C8">
        <w:rPr>
          <w:rFonts w:ascii="Times New Roman" w:eastAsia="HiddenHorzOCR" w:hAnsi="Times New Roman"/>
          <w:sz w:val="24"/>
          <w:szCs w:val="24"/>
        </w:rPr>
        <w:t xml:space="preserve">PR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služba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Ministarstva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poljoprivrede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je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poslala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reagovanje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proofErr w:type="gramStart"/>
      <w:r w:rsidRPr="000855C8">
        <w:rPr>
          <w:rFonts w:ascii="Times New Roman" w:eastAsia="HiddenHorzOCR" w:hAnsi="Times New Roman"/>
          <w:sz w:val="24"/>
          <w:szCs w:val="24"/>
        </w:rPr>
        <w:t>na</w:t>
      </w:r>
      <w:proofErr w:type="spellEnd"/>
      <w:proofErr w:type="gram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ovaj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tekst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“Danu” 04.08.2016. U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tekstu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su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demantovane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tvrdnje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Stjepovića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i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BE6911">
        <w:rPr>
          <w:rFonts w:ascii="Times New Roman" w:eastAsia="HiddenHorzOCR" w:hAnsi="Times New Roman"/>
          <w:sz w:val="24"/>
          <w:szCs w:val="24"/>
        </w:rPr>
        <w:t>između</w:t>
      </w:r>
      <w:proofErr w:type="spellEnd"/>
      <w:r w:rsidR="00BE6911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="00BE6911">
        <w:rPr>
          <w:rFonts w:ascii="Times New Roman" w:eastAsia="HiddenHorzOCR" w:hAnsi="Times New Roman"/>
          <w:sz w:val="24"/>
          <w:szCs w:val="24"/>
        </w:rPr>
        <w:t>ostaloga</w:t>
      </w:r>
      <w:proofErr w:type="spellEnd"/>
      <w:r w:rsidR="00BE6911">
        <w:rPr>
          <w:rFonts w:ascii="Times New Roman" w:eastAsia="HiddenHorzOCR" w:hAnsi="Times New Roman"/>
          <w:sz w:val="24"/>
          <w:szCs w:val="24"/>
        </w:rPr>
        <w:t xml:space="preserve"> je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istaknuto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 </w:t>
      </w:r>
      <w:proofErr w:type="spellStart"/>
      <w:r w:rsidRPr="000855C8">
        <w:rPr>
          <w:rFonts w:ascii="Times New Roman" w:eastAsia="HiddenHorzOCR" w:hAnsi="Times New Roman"/>
          <w:sz w:val="24"/>
          <w:szCs w:val="24"/>
        </w:rPr>
        <w:t>da</w:t>
      </w:r>
      <w:proofErr w:type="spellEnd"/>
      <w:r w:rsidRPr="000855C8">
        <w:rPr>
          <w:rFonts w:ascii="Times New Roman" w:eastAsia="HiddenHorzOCR" w:hAnsi="Times New Roman"/>
          <w:sz w:val="24"/>
          <w:szCs w:val="24"/>
        </w:rPr>
        <w:t xml:space="preserve">:”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Nije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tačno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postojanje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prava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koncesiju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teritoriji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opštine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Žabljak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bio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uslov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preduzeću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“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Pelengić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Trade”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dobije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kredit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.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Kreditno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zaduženje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bio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isključivo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poslovni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rizik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firme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.</w:t>
      </w:r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Takođe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nije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tačno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će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se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ove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godine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prostoru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opštine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Žabljak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posjeći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26.000m</w:t>
      </w:r>
      <w:r w:rsidRPr="00BE6911">
        <w:rPr>
          <w:rFonts w:ascii="Times New Roman" w:hAnsi="Times New Roman"/>
          <w:i/>
          <w:color w:val="000000"/>
          <w:sz w:val="24"/>
          <w:szCs w:val="18"/>
          <w:vertAlign w:val="superscript"/>
          <w:lang w:eastAsia="en-GB"/>
        </w:rPr>
        <w:t>3</w:t>
      </w:r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kako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navodi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gospodin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Stijepović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,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već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21.896m</w:t>
      </w:r>
      <w:r w:rsidRPr="00BE6911">
        <w:rPr>
          <w:rFonts w:ascii="Times New Roman" w:hAnsi="Times New Roman"/>
          <w:i/>
          <w:color w:val="000000"/>
          <w:sz w:val="24"/>
          <w:szCs w:val="18"/>
          <w:vertAlign w:val="superscript"/>
          <w:lang w:eastAsia="en-GB"/>
        </w:rPr>
        <w:t>3</w:t>
      </w:r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.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Razlika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gotovo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20%.</w:t>
      </w:r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Nije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tačno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će</w:t>
      </w:r>
      <w:proofErr w:type="spellEnd"/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ove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godine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“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Pelengić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Trade”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dobiti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koncesije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cijeni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od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13 €/m</w:t>
      </w:r>
      <w:r w:rsidRPr="00BE6911">
        <w:rPr>
          <w:rFonts w:ascii="Times New Roman" w:hAnsi="Times New Roman"/>
          <w:i/>
          <w:color w:val="000000"/>
          <w:sz w:val="24"/>
          <w:szCs w:val="18"/>
          <w:vertAlign w:val="superscript"/>
          <w:lang w:eastAsia="en-GB"/>
        </w:rPr>
        <w:t>3</w:t>
      </w:r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,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kako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to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kazao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gospodin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Stijepović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.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Početna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cijena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koju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utvrdila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Vlada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Crne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Gore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kreće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se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od</w:t>
      </w:r>
      <w:proofErr w:type="spellEnd"/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17 do 22 €/m</w:t>
      </w:r>
      <w:r w:rsidRPr="00BE6911">
        <w:rPr>
          <w:rFonts w:ascii="Times New Roman" w:hAnsi="Times New Roman"/>
          <w:i/>
          <w:color w:val="000000"/>
          <w:sz w:val="24"/>
          <w:szCs w:val="18"/>
          <w:vertAlign w:val="superscript"/>
          <w:lang w:eastAsia="en-GB"/>
        </w:rPr>
        <w:t>3</w:t>
      </w:r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bruto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drvne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mase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.</w:t>
      </w:r>
      <w:r w:rsid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”</w:t>
      </w:r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</w:p>
    <w:p w:rsidR="000855C8" w:rsidRPr="00BE6911" w:rsidRDefault="00BE6911" w:rsidP="000855C8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i/>
          <w:color w:val="000000"/>
          <w:sz w:val="24"/>
          <w:szCs w:val="18"/>
          <w:lang w:eastAsia="en-GB"/>
        </w:rPr>
      </w:pPr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PR </w:t>
      </w:r>
      <w:proofErr w:type="spellStart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>služba</w:t>
      </w:r>
      <w:proofErr w:type="spellEnd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>Ministarstva</w:t>
      </w:r>
      <w:proofErr w:type="spellEnd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>poljoprivrede</w:t>
      </w:r>
      <w:proofErr w:type="spellEnd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>takođe</w:t>
      </w:r>
      <w:proofErr w:type="spellEnd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>ustvrdila</w:t>
      </w:r>
      <w:proofErr w:type="spellEnd"/>
      <w:r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color w:val="000000"/>
          <w:sz w:val="24"/>
          <w:szCs w:val="18"/>
          <w:lang w:eastAsia="en-GB"/>
        </w:rPr>
        <w:t>da</w:t>
      </w:r>
      <w:proofErr w:type="spellEnd"/>
      <w:r>
        <w:rPr>
          <w:rFonts w:ascii="Times New Roman" w:hAnsi="Times New Roman"/>
          <w:i/>
          <w:color w:val="000000"/>
          <w:sz w:val="24"/>
          <w:szCs w:val="18"/>
          <w:lang w:eastAsia="en-GB"/>
        </w:rPr>
        <w:t>: “</w:t>
      </w:r>
      <w:proofErr w:type="spellStart"/>
      <w:r>
        <w:rPr>
          <w:rFonts w:ascii="Times New Roman" w:hAnsi="Times New Roman"/>
          <w:i/>
          <w:color w:val="000000"/>
          <w:sz w:val="24"/>
          <w:szCs w:val="18"/>
          <w:lang w:eastAsia="en-GB"/>
        </w:rPr>
        <w:t>n</w:t>
      </w:r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ije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tačno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“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Pelengić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Trade”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nema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dodijeljenu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sirovinu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teritoriji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opštine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Žabljak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.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Istina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, to je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ustvrdio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i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sam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gospodin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Stijepović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,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koji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u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tekstu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konstatuje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preduzeće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“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Pelengić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Trade”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korisnik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cca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6.000 m</w:t>
      </w:r>
      <w:r w:rsidR="000855C8" w:rsidRPr="00BE6911">
        <w:rPr>
          <w:rFonts w:ascii="Times New Roman" w:hAnsi="Times New Roman"/>
          <w:i/>
          <w:color w:val="000000"/>
          <w:sz w:val="24"/>
          <w:szCs w:val="18"/>
          <w:vertAlign w:val="superscript"/>
          <w:lang w:eastAsia="en-GB"/>
        </w:rPr>
        <w:t>3</w:t>
      </w:r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bruto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drvne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mase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proofErr w:type="gram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proofErr w:type="gram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prostoru</w:t>
      </w:r>
      <w:proofErr w:type="spellEnd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0855C8"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opštine</w:t>
      </w:r>
      <w:proofErr w:type="spellEnd"/>
      <w:r w:rsidR="00F22366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="00F22366">
        <w:rPr>
          <w:rFonts w:ascii="Times New Roman" w:hAnsi="Times New Roman"/>
          <w:i/>
          <w:color w:val="000000"/>
          <w:sz w:val="24"/>
          <w:szCs w:val="18"/>
          <w:lang w:eastAsia="en-GB"/>
        </w:rPr>
        <w:t>Žabljak</w:t>
      </w:r>
      <w:proofErr w:type="spellEnd"/>
      <w:r w:rsidR="00F22366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. </w:t>
      </w:r>
    </w:p>
    <w:p w:rsidR="000855C8" w:rsidRDefault="000855C8" w:rsidP="000855C8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i/>
          <w:color w:val="000000"/>
          <w:sz w:val="24"/>
          <w:szCs w:val="18"/>
          <w:lang w:eastAsia="en-GB"/>
        </w:rPr>
      </w:pP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Nije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tačno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“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Pelengić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Trade”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Žabljaku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dobio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stratešku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koncesiju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period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od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15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godina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,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što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će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mu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donijeti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dobit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od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33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miliona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eura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.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Shodno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Planu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davanja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koncesija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koji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usvojila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Vlada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Crne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Gore, a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koji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javni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dokument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,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davanje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koncesija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prostoru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opštine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Žabljak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je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planirano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period </w:t>
      </w:r>
      <w:proofErr w:type="spellStart"/>
      <w:proofErr w:type="gram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od</w:t>
      </w:r>
      <w:proofErr w:type="spellEnd"/>
      <w:proofErr w:type="gram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 xml:space="preserve"> 5 do 10 </w:t>
      </w:r>
      <w:proofErr w:type="spellStart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godina</w:t>
      </w:r>
      <w:proofErr w:type="spellEnd"/>
      <w:r w:rsidRP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.</w:t>
      </w:r>
      <w:r w:rsidR="00BE6911">
        <w:rPr>
          <w:rFonts w:ascii="Times New Roman" w:hAnsi="Times New Roman"/>
          <w:i/>
          <w:color w:val="000000"/>
          <w:sz w:val="24"/>
          <w:szCs w:val="18"/>
          <w:lang w:eastAsia="en-GB"/>
        </w:rPr>
        <w:t>”</w:t>
      </w:r>
    </w:p>
    <w:p w:rsidR="00F22366" w:rsidRDefault="00F22366" w:rsidP="000855C8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i/>
          <w:color w:val="000000"/>
          <w:sz w:val="24"/>
          <w:szCs w:val="18"/>
          <w:lang w:eastAsia="en-GB"/>
        </w:rPr>
      </w:pPr>
    </w:p>
    <w:p w:rsidR="00BE6911" w:rsidRPr="00BE6911" w:rsidRDefault="00BE6911" w:rsidP="00BE6911">
      <w:pPr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Kako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do 01.09.2016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objavljeno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reagovanje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Ministarstva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, PR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služba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ovog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resora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uputila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žalbu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Ombudsmanu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dnevne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Dan. </w:t>
      </w:r>
      <w:r>
        <w:rPr>
          <w:rFonts w:ascii="Times New Roman" w:hAnsi="Times New Roman"/>
          <w:sz w:val="24"/>
          <w:szCs w:val="24"/>
          <w:lang w:val="sr-Latn-CS"/>
        </w:rPr>
        <w:t>Ombudsman</w:t>
      </w:r>
      <w:r w:rsidRPr="00BE6911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„</w:t>
      </w:r>
      <w:r w:rsidRPr="00BE6911">
        <w:rPr>
          <w:rFonts w:ascii="Times New Roman" w:hAnsi="Times New Roman"/>
          <w:sz w:val="24"/>
          <w:szCs w:val="24"/>
          <w:lang w:val="sr-Latn-CS"/>
        </w:rPr>
        <w:t>Dan</w:t>
      </w:r>
      <w:r>
        <w:rPr>
          <w:rFonts w:ascii="Times New Roman" w:hAnsi="Times New Roman"/>
          <w:sz w:val="24"/>
          <w:szCs w:val="24"/>
          <w:lang w:val="sr-Latn-CS"/>
        </w:rPr>
        <w:t>a“</w:t>
      </w:r>
      <w:r w:rsidRPr="00BE691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22366" w:rsidRPr="00BE6911">
        <w:rPr>
          <w:rFonts w:ascii="Times New Roman" w:hAnsi="Times New Roman"/>
          <w:sz w:val="24"/>
          <w:szCs w:val="24"/>
          <w:lang w:val="sr-Latn-CS"/>
        </w:rPr>
        <w:t xml:space="preserve">je 09.09.2016. </w:t>
      </w:r>
      <w:r w:rsidRPr="00BE6911">
        <w:rPr>
          <w:rFonts w:ascii="Times New Roman" w:hAnsi="Times New Roman"/>
          <w:sz w:val="24"/>
          <w:szCs w:val="24"/>
          <w:lang w:val="sr-Latn-CS"/>
        </w:rPr>
        <w:t xml:space="preserve">dostavio </w:t>
      </w:r>
      <w:r w:rsidR="00F22366">
        <w:rPr>
          <w:rFonts w:ascii="Times New Roman" w:hAnsi="Times New Roman"/>
          <w:sz w:val="24"/>
          <w:szCs w:val="24"/>
          <w:lang w:val="sr-Latn-CS"/>
        </w:rPr>
        <w:t>elektronskim putem PR Službi o</w:t>
      </w:r>
      <w:r w:rsidRPr="00BE6911">
        <w:rPr>
          <w:rFonts w:ascii="Times New Roman" w:hAnsi="Times New Roman"/>
          <w:sz w:val="24"/>
          <w:szCs w:val="24"/>
          <w:lang w:val="sr-Latn-CS"/>
        </w:rPr>
        <w:t xml:space="preserve">dluku da odbija </w:t>
      </w:r>
      <w:r>
        <w:rPr>
          <w:rFonts w:ascii="Times New Roman" w:hAnsi="Times New Roman"/>
          <w:sz w:val="24"/>
          <w:szCs w:val="24"/>
          <w:lang w:val="sr-Latn-CS"/>
        </w:rPr>
        <w:t>ž</w:t>
      </w:r>
      <w:r w:rsidRPr="00BE6911">
        <w:rPr>
          <w:rFonts w:ascii="Times New Roman" w:hAnsi="Times New Roman"/>
          <w:sz w:val="24"/>
          <w:szCs w:val="24"/>
          <w:lang w:val="sr-Latn-CS"/>
        </w:rPr>
        <w:t xml:space="preserve">albu PR </w:t>
      </w:r>
      <w:r>
        <w:rPr>
          <w:rFonts w:ascii="Times New Roman" w:hAnsi="Times New Roman"/>
          <w:sz w:val="24"/>
          <w:szCs w:val="24"/>
          <w:lang w:val="sr-Latn-CS"/>
        </w:rPr>
        <w:t>s</w:t>
      </w:r>
      <w:r w:rsidRPr="00BE6911">
        <w:rPr>
          <w:rFonts w:ascii="Times New Roman" w:hAnsi="Times New Roman"/>
          <w:sz w:val="24"/>
          <w:szCs w:val="24"/>
          <w:lang w:val="sr-Latn-CS"/>
        </w:rPr>
        <w:t>lužbe, uz obrazloženje da podržava izjašnjenje novinarke, autora tekst</w:t>
      </w:r>
      <w:r>
        <w:rPr>
          <w:rFonts w:ascii="Times New Roman" w:hAnsi="Times New Roman"/>
          <w:sz w:val="24"/>
          <w:szCs w:val="24"/>
          <w:lang w:val="sr-Latn-CS"/>
        </w:rPr>
        <w:t>a, Jelene Veljović,</w:t>
      </w:r>
      <w:r w:rsidRPr="00BE6911">
        <w:rPr>
          <w:rFonts w:ascii="Times New Roman" w:hAnsi="Times New Roman"/>
          <w:sz w:val="24"/>
          <w:szCs w:val="24"/>
          <w:lang w:val="sr-Latn-CS"/>
        </w:rPr>
        <w:t xml:space="preserve"> te da nema potrebe da on(Ombudsman) posebno obrazlaže svoju odluku. U Odluci je prenešeno u cjelosti izjašnjenje novinarke Veljović o razlozima neobjavljivanja rea</w:t>
      </w:r>
      <w:r w:rsidR="00B7340B">
        <w:rPr>
          <w:rFonts w:ascii="Times New Roman" w:hAnsi="Times New Roman"/>
          <w:sz w:val="24"/>
          <w:szCs w:val="24"/>
          <w:lang w:val="sr-Latn-CS"/>
        </w:rPr>
        <w:t>govanja PR Službe Ministarstva</w:t>
      </w:r>
      <w:r w:rsidR="006E4B65">
        <w:rPr>
          <w:rFonts w:ascii="Times New Roman" w:hAnsi="Times New Roman"/>
          <w:sz w:val="24"/>
          <w:szCs w:val="24"/>
          <w:lang w:val="sr-Latn-CS"/>
        </w:rPr>
        <w:t>. Kao glavni razlog navedeno je sledeće</w:t>
      </w:r>
      <w:r w:rsidR="00B7340B">
        <w:rPr>
          <w:rFonts w:ascii="Times New Roman" w:hAnsi="Times New Roman"/>
          <w:sz w:val="24"/>
          <w:szCs w:val="24"/>
          <w:lang w:val="sr-Latn-CS"/>
        </w:rPr>
        <w:t>:</w:t>
      </w:r>
      <w:r w:rsidR="00B7340B">
        <w:rPr>
          <w:rFonts w:ascii="Times New Roman" w:hAnsi="Times New Roman"/>
          <w:sz w:val="24"/>
          <w:szCs w:val="24"/>
        </w:rPr>
        <w:t xml:space="preserve"> </w:t>
      </w:r>
      <w:r w:rsidR="00B7340B" w:rsidRPr="006E4B65">
        <w:rPr>
          <w:rFonts w:ascii="Times New Roman" w:hAnsi="Times New Roman"/>
          <w:i/>
          <w:sz w:val="24"/>
          <w:szCs w:val="24"/>
        </w:rPr>
        <w:t>''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Reagovanje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tvrdnje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direktora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NVO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Centar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razvoj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Durmitora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Darka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Stijepovića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nije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objavljeno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iz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razloga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mi je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aktuelni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ministar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poljoprivrede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Budimir Mugoša, u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telefonskom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razgovoru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nakon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mejl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redakcije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stiglo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sporno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reagovanje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kazao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se ne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radi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stavu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Ministarstva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poljoprivrede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ruralnog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razvoja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te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PR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Služba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te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institucije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nije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imala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njegovo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odobrenje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reagovanje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tom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sadržinom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dostavi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redakciji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ali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da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ga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objavi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na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sajtu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7340B" w:rsidRPr="006E4B65">
        <w:rPr>
          <w:rFonts w:ascii="Times New Roman" w:hAnsi="Times New Roman"/>
          <w:i/>
          <w:sz w:val="24"/>
          <w:szCs w:val="24"/>
        </w:rPr>
        <w:t>Ministarstva</w:t>
      </w:r>
      <w:proofErr w:type="spellEnd"/>
      <w:r w:rsidR="00B7340B" w:rsidRPr="006E4B65">
        <w:rPr>
          <w:rFonts w:ascii="Times New Roman" w:hAnsi="Times New Roman"/>
          <w:i/>
          <w:sz w:val="24"/>
          <w:szCs w:val="24"/>
        </w:rPr>
        <w:t>.</w:t>
      </w:r>
      <w:r w:rsidR="00B7340B">
        <w:rPr>
          <w:rFonts w:ascii="Times New Roman" w:hAnsi="Times New Roman"/>
          <w:sz w:val="24"/>
          <w:szCs w:val="24"/>
        </w:rPr>
        <w:t>”</w:t>
      </w:r>
    </w:p>
    <w:p w:rsidR="005776A8" w:rsidRDefault="00B7340B" w:rsidP="00B7340B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color w:val="000000"/>
          <w:sz w:val="24"/>
          <w:szCs w:val="18"/>
          <w:lang w:eastAsia="en-GB"/>
        </w:rPr>
      </w:pPr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PR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služba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Ministarstva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poslije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ovoga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obratila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18"/>
          <w:lang w:eastAsia="en-GB"/>
        </w:rPr>
        <w:t>sa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žalbom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Medijskom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savjetu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samoregulaciju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. </w:t>
      </w:r>
    </w:p>
    <w:p w:rsidR="00B7340B" w:rsidRDefault="00B7340B" w:rsidP="00B7340B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color w:val="000000"/>
          <w:sz w:val="24"/>
          <w:szCs w:val="18"/>
          <w:lang w:eastAsia="en-GB"/>
        </w:rPr>
      </w:pPr>
    </w:p>
    <w:p w:rsidR="00B7340B" w:rsidRDefault="00B7340B" w:rsidP="00B7340B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color w:val="000000"/>
          <w:sz w:val="24"/>
          <w:szCs w:val="18"/>
          <w:lang w:eastAsia="en-GB"/>
        </w:rPr>
      </w:pP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Razmatrajući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ovaj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predmet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Medijskog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savjeta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samoregulaciju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našla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pred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dilemom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li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da</w:t>
      </w:r>
      <w:proofErr w:type="spellEnd"/>
      <w:r w:rsidR="00BC2505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BC2505">
        <w:rPr>
          <w:rFonts w:ascii="Times New Roman" w:hAnsi="Times New Roman"/>
          <w:color w:val="000000"/>
          <w:sz w:val="24"/>
          <w:szCs w:val="18"/>
          <w:lang w:eastAsia="en-GB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prednost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činjenicama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proofErr w:type="gram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od</w:t>
      </w:r>
      <w:proofErr w:type="spellEnd"/>
      <w:proofErr w:type="gram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interesa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za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javnost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ili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pravno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formalnim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procedurama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kada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je u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pitanju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objavljivanje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ispravke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i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odgovora</w:t>
      </w:r>
      <w:proofErr w:type="spellEnd"/>
      <w:r w:rsidR="00A27251">
        <w:rPr>
          <w:rFonts w:ascii="Times New Roman" w:hAnsi="Times New Roman"/>
          <w:color w:val="000000"/>
          <w:sz w:val="24"/>
          <w:szCs w:val="18"/>
          <w:lang w:eastAsia="en-GB"/>
        </w:rPr>
        <w:t>.</w:t>
      </w:r>
    </w:p>
    <w:p w:rsidR="00B7340B" w:rsidRDefault="00B7340B" w:rsidP="00B7340B">
      <w:pPr>
        <w:shd w:val="clear" w:color="auto" w:fill="FFFFFF"/>
        <w:contextualSpacing/>
        <w:jc w:val="both"/>
        <w:textAlignment w:val="top"/>
        <w:rPr>
          <w:rFonts w:ascii="Times New Roman" w:hAnsi="Times New Roman"/>
          <w:color w:val="000000"/>
          <w:sz w:val="24"/>
          <w:szCs w:val="18"/>
          <w:lang w:eastAsia="en-GB"/>
        </w:rPr>
      </w:pPr>
    </w:p>
    <w:p w:rsidR="00B7340B" w:rsidRDefault="002D07BE" w:rsidP="00B7340B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proofErr w:type="gramStart"/>
      <w:r>
        <w:rPr>
          <w:rFonts w:ascii="Times New Roman" w:hAnsi="Times New Roman"/>
          <w:color w:val="000000"/>
          <w:sz w:val="24"/>
          <w:szCs w:val="18"/>
          <w:lang w:eastAsia="en-GB"/>
        </w:rPr>
        <w:t>Sa</w:t>
      </w:r>
      <w:proofErr w:type="gram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jedne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strane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18"/>
          <w:lang w:eastAsia="en-GB"/>
        </w:rPr>
        <w:t>tekst</w:t>
      </w:r>
      <w:proofErr w:type="spellEnd"/>
      <w:r>
        <w:rPr>
          <w:rFonts w:ascii="Times New Roman" w:hAnsi="Times New Roman"/>
          <w:color w:val="000000"/>
          <w:sz w:val="24"/>
          <w:szCs w:val="18"/>
          <w:lang w:eastAsia="en-GB"/>
        </w:rPr>
        <w:t xml:space="preserve"> </w:t>
      </w:r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Dobio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kredit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pilanu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, a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nije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imao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koncesije</w:t>
      </w:r>
      <w:proofErr w:type="spellEnd"/>
      <w:r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r w:rsidR="006E4B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6E4B6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koji</w:t>
      </w:r>
      <w:proofErr w:type="spellEnd"/>
      <w:r w:rsidR="006E4B6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6E4B6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nesumnjivo</w:t>
      </w:r>
      <w:proofErr w:type="spellEnd"/>
      <w:r w:rsidR="006E4B6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E4B6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jednostran</w:t>
      </w:r>
      <w:proofErr w:type="spellEnd"/>
      <w:r w:rsidR="006E4B6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26A49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koji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prenosi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optužbe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račun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jedne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firme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bivšeg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Ministra</w:t>
      </w:r>
      <w:proofErr w:type="spellEnd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F0B4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poljporivrede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bez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ijednog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pokušaja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dobije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stav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druge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strane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Sa</w:t>
      </w:r>
      <w:proofErr w:type="gram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druge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strane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imamo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informaciju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koju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pozvala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novinarka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“Dana”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PR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Služba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aktuelnog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Ministarstva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nije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imala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odobrenje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aktuelnog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ministra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pošalje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jedno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ovako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reagovanje</w:t>
      </w:r>
      <w:proofErr w:type="spellEnd"/>
      <w:r w:rsidR="005F15C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</w:p>
    <w:p w:rsidR="005F15C4" w:rsidRDefault="005F15C4" w:rsidP="00B7340B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:rsidR="00BE1B60" w:rsidRDefault="007B2945" w:rsidP="00B7340B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Činjenice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iznijete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inicijalnom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tekstu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tekstu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nemaju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veze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sa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internim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problemima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uokviru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Minstarstva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poljoprivrede</w:t>
      </w:r>
      <w:proofErr w:type="spellEnd"/>
      <w:r w:rsidR="008332B0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Sama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tema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dodjeljivanja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koncesija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šume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proofErr w:type="gram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</w:t>
      </w:r>
      <w:proofErr w:type="spellEnd"/>
      <w:proofErr w:type="gram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posebnog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interesa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javnosti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stav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Komisije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žalbe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redakcija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Dana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mogla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učini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napor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činjenice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iznijela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PR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služba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Minstarstva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poljoprivrede</w:t>
      </w:r>
      <w:proofErr w:type="spellEnd"/>
      <w:r w:rsidR="00A84DE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Interni</w:t>
      </w:r>
      <w:proofErr w:type="spellEnd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problemi</w:t>
      </w:r>
      <w:proofErr w:type="spellEnd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jednog</w:t>
      </w:r>
      <w:proofErr w:type="spellEnd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Ministarstva</w:t>
      </w:r>
      <w:proofErr w:type="spellEnd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nijesu</w:t>
      </w:r>
      <w:proofErr w:type="spellEnd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apriori</w:t>
      </w:r>
      <w:proofErr w:type="spellEnd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1100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nešto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što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ograničava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jednu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novinu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objavljuje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određene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vrste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informacija</w:t>
      </w:r>
      <w:proofErr w:type="spellEnd"/>
      <w:r w:rsidR="00927A7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927A7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="00927A7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927A7C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reagovanja</w:t>
      </w:r>
      <w:proofErr w:type="spellEnd"/>
      <w:r w:rsidR="00540191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Poznata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praksa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često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pojedinih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Minstarstava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objavljuju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pozivanjem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anonimne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izvore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nijedan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ministar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ne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može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tako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nešto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spriječiti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pogotovo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ako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radi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informacijama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javnog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interesa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. </w:t>
      </w:r>
      <w:proofErr w:type="spellStart"/>
      <w:proofErr w:type="gram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Nije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nam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jasno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zašto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bi to</w:t>
      </w:r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ovoj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situaciji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bio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izuzetak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zašto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bi procedure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formalne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prirode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spriječile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javnost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dobije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punu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informaciju</w:t>
      </w:r>
      <w:proofErr w:type="spell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proofErr w:type="gramEnd"/>
    </w:p>
    <w:p w:rsidR="00BE1B60" w:rsidRDefault="00BE1B60" w:rsidP="00B7340B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:rsidR="007B2945" w:rsidRDefault="00BE1B60" w:rsidP="00B7340B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Komisija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žalbe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konstatuje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bila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obaveza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dnevne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Dan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objavi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PR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službe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Minsitarstva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poljoprivrede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pravo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javnosti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sazna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punu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</w:t>
      </w:r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ređenoj</w:t>
      </w:r>
      <w:proofErr w:type="spellEnd"/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pojavi</w:t>
      </w:r>
      <w:proofErr w:type="spellEnd"/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bilo</w:t>
      </w:r>
      <w:proofErr w:type="spellEnd"/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pre</w:t>
      </w:r>
      <w:r w:rsidR="0071520B">
        <w:rPr>
          <w:rFonts w:ascii="Times New Roman" w:eastAsia="Times New Roman" w:hAnsi="Times New Roman"/>
          <w:bCs/>
          <w:color w:val="000000"/>
          <w:sz w:val="24"/>
          <w:szCs w:val="24"/>
          <w:lang w:val="sr-Latn-CS" w:eastAsia="en-GB"/>
        </w:rPr>
        <w:t>če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odnosa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vladinom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resoru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Šta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više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“Dan” je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kroz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ovu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situaciju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mogao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otvori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temu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odnosima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jednom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minstarstva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tokom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trajanja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Vlade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izbornog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povjerenja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proofErr w:type="gramEnd"/>
      <w:r w:rsidR="003E3627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Dnevna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Dan je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odlučila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neobjavi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dobijeno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reagovanje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825C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prećuti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razloge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njegovo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neobjavljivanje</w:t>
      </w:r>
      <w:proofErr w:type="spellEnd"/>
      <w:r w:rsidR="00735C4F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proofErr w:type="gram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Time je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priča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aktuelizovana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tekstu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proofErr w:type="spellStart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Dobio</w:t>
      </w:r>
      <w:proofErr w:type="spellEnd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kredit</w:t>
      </w:r>
      <w:proofErr w:type="spellEnd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pilanu</w:t>
      </w:r>
      <w:proofErr w:type="spellEnd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, a </w:t>
      </w:r>
      <w:proofErr w:type="spellStart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nije</w:t>
      </w:r>
      <w:proofErr w:type="spellEnd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imao</w:t>
      </w:r>
      <w:proofErr w:type="spellEnd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koncesije</w:t>
      </w:r>
      <w:proofErr w:type="spellEnd"/>
      <w:r w:rsidR="004F55BE" w:rsidRPr="00520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“</w:t>
      </w:r>
      <w:r w:rsidR="004F55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,</w:t>
      </w:r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ostala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nedorečena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F55B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necjelovita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zbog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izostanka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informacija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koje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ponudila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druga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strana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.</w:t>
      </w:r>
      <w:proofErr w:type="gramEnd"/>
    </w:p>
    <w:p w:rsidR="006445A8" w:rsidRPr="004F55BE" w:rsidRDefault="006445A8" w:rsidP="00B7340B">
      <w:pPr>
        <w:shd w:val="clear" w:color="auto" w:fill="FFFFFF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:rsidR="006445A8" w:rsidRPr="006445A8" w:rsidRDefault="00927A7C" w:rsidP="006445A8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Komisija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žalbe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konstatuje</w:t>
      </w:r>
      <w:proofErr w:type="spellEnd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da</w:t>
      </w:r>
      <w:proofErr w:type="spellEnd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je </w:t>
      </w:r>
      <w:proofErr w:type="spellStart"/>
      <w:proofErr w:type="gramStart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ovaj</w:t>
      </w:r>
      <w:proofErr w:type="spellEnd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način</w:t>
      </w:r>
      <w:proofErr w:type="spellEnd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prekršeno</w:t>
      </w:r>
      <w:proofErr w:type="spellEnd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73AB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načel</w:t>
      </w:r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III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Kodeksa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novinara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smjernica</w:t>
      </w:r>
      <w:proofErr w:type="spellEnd"/>
      <w:r w:rsidR="006445A8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</w:t>
      </w:r>
      <w:r w:rsidR="006445A8" w:rsidRPr="006445A8">
        <w:rPr>
          <w:rFonts w:ascii="Times New Roman" w:eastAsia="Times New Roman" w:hAnsi="Times New Roman"/>
          <w:sz w:val="24"/>
          <w:szCs w:val="24"/>
        </w:rPr>
        <w:t xml:space="preserve">3.1. </w:t>
      </w:r>
      <w:proofErr w:type="spellStart"/>
      <w:r w:rsidR="006445A8" w:rsidRPr="006445A8">
        <w:rPr>
          <w:rFonts w:ascii="Times New Roman" w:eastAsia="Times New Roman" w:hAnsi="Times New Roman"/>
          <w:sz w:val="24"/>
          <w:szCs w:val="24"/>
        </w:rPr>
        <w:t>Ispravka</w:t>
      </w:r>
      <w:proofErr w:type="spellEnd"/>
      <w:r w:rsidR="006445A8" w:rsidRPr="006445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445A8" w:rsidRPr="006445A8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6445A8" w:rsidRPr="006445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445A8" w:rsidRPr="006445A8">
        <w:rPr>
          <w:rFonts w:ascii="Times New Roman" w:eastAsia="Times New Roman" w:hAnsi="Times New Roman"/>
          <w:sz w:val="24"/>
          <w:szCs w:val="24"/>
        </w:rPr>
        <w:t>odgovor</w:t>
      </w:r>
      <w:proofErr w:type="spellEnd"/>
      <w:r w:rsidR="006445A8">
        <w:rPr>
          <w:rFonts w:ascii="Times New Roman" w:eastAsia="Times New Roman" w:hAnsi="Times New Roman"/>
          <w:sz w:val="24"/>
          <w:szCs w:val="24"/>
        </w:rPr>
        <w:t>:</w:t>
      </w:r>
    </w:p>
    <w:p w:rsidR="006445A8" w:rsidRPr="006445A8" w:rsidRDefault="006445A8" w:rsidP="006445A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(a)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Svi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mediji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poštovati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osigurati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primjenu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6445A8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ispravku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odgovor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445A8" w:rsidRPr="006445A8" w:rsidRDefault="006445A8" w:rsidP="006445A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6445A8">
        <w:rPr>
          <w:rFonts w:ascii="Times New Roman" w:eastAsia="Times New Roman" w:hAnsi="Times New Roman"/>
          <w:i/>
          <w:sz w:val="24"/>
          <w:szCs w:val="24"/>
        </w:rPr>
        <w:t>u</w:t>
      </w:r>
      <w:proofErr w:type="gram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skladu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zakonom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uz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pravovremeno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objavljivanje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ispravke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izvinjenja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</w:p>
    <w:p w:rsidR="00E4028C" w:rsidRPr="006445A8" w:rsidRDefault="006445A8" w:rsidP="006445A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6445A8">
        <w:rPr>
          <w:rFonts w:ascii="Times New Roman" w:eastAsia="Times New Roman" w:hAnsi="Times New Roman"/>
          <w:i/>
          <w:sz w:val="24"/>
          <w:szCs w:val="24"/>
        </w:rPr>
        <w:t>izbjeglo</w:t>
      </w:r>
      <w:proofErr w:type="spellEnd"/>
      <w:proofErr w:type="gram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pokretanje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sudskog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445A8">
        <w:rPr>
          <w:rFonts w:ascii="Times New Roman" w:eastAsia="Times New Roman" w:hAnsi="Times New Roman"/>
          <w:i/>
          <w:sz w:val="24"/>
          <w:szCs w:val="24"/>
        </w:rPr>
        <w:t>postupka</w:t>
      </w:r>
      <w:proofErr w:type="spellEnd"/>
      <w:r w:rsidRPr="006445A8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520163" w:rsidRDefault="00520163" w:rsidP="00F110EA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348B"/>
    <w:multiLevelType w:val="hybridMultilevel"/>
    <w:tmpl w:val="A8C07196"/>
    <w:lvl w:ilvl="0" w:tplc="085874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5196C"/>
    <w:rsid w:val="0006234C"/>
    <w:rsid w:val="000633ED"/>
    <w:rsid w:val="00066D44"/>
    <w:rsid w:val="00067204"/>
    <w:rsid w:val="00071EB7"/>
    <w:rsid w:val="00072BBE"/>
    <w:rsid w:val="00077696"/>
    <w:rsid w:val="00080875"/>
    <w:rsid w:val="000855C8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4E"/>
    <w:rsid w:val="000F0BCA"/>
    <w:rsid w:val="000F2E37"/>
    <w:rsid w:val="000F6A8A"/>
    <w:rsid w:val="001002A9"/>
    <w:rsid w:val="0010079E"/>
    <w:rsid w:val="00104741"/>
    <w:rsid w:val="001118AB"/>
    <w:rsid w:val="0012706D"/>
    <w:rsid w:val="00162CBE"/>
    <w:rsid w:val="00171435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07BE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825CE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627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A49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55BE"/>
    <w:rsid w:val="004F60EE"/>
    <w:rsid w:val="004F6982"/>
    <w:rsid w:val="004F6D5B"/>
    <w:rsid w:val="00520163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0191"/>
    <w:rsid w:val="00545C0E"/>
    <w:rsid w:val="00550DA3"/>
    <w:rsid w:val="00551522"/>
    <w:rsid w:val="00562B30"/>
    <w:rsid w:val="00564881"/>
    <w:rsid w:val="005655BF"/>
    <w:rsid w:val="005657E1"/>
    <w:rsid w:val="005714F8"/>
    <w:rsid w:val="005748A2"/>
    <w:rsid w:val="00574BCF"/>
    <w:rsid w:val="00576540"/>
    <w:rsid w:val="005776A8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E3C9A"/>
    <w:rsid w:val="005E43C3"/>
    <w:rsid w:val="005E46D9"/>
    <w:rsid w:val="005E78C2"/>
    <w:rsid w:val="005F15C4"/>
    <w:rsid w:val="005F19B9"/>
    <w:rsid w:val="00601AAA"/>
    <w:rsid w:val="00601EDE"/>
    <w:rsid w:val="00607635"/>
    <w:rsid w:val="006107AB"/>
    <w:rsid w:val="00610F78"/>
    <w:rsid w:val="00623976"/>
    <w:rsid w:val="006336B7"/>
    <w:rsid w:val="00633966"/>
    <w:rsid w:val="0064010E"/>
    <w:rsid w:val="006445A8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E4B65"/>
    <w:rsid w:val="006F06F3"/>
    <w:rsid w:val="006F193C"/>
    <w:rsid w:val="00700238"/>
    <w:rsid w:val="007010DA"/>
    <w:rsid w:val="00701102"/>
    <w:rsid w:val="0071520B"/>
    <w:rsid w:val="0071581C"/>
    <w:rsid w:val="00720E4B"/>
    <w:rsid w:val="00722792"/>
    <w:rsid w:val="007233BF"/>
    <w:rsid w:val="00726F0E"/>
    <w:rsid w:val="0072705E"/>
    <w:rsid w:val="007304D7"/>
    <w:rsid w:val="0073375B"/>
    <w:rsid w:val="00733FF0"/>
    <w:rsid w:val="00735C4F"/>
    <w:rsid w:val="00737F32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8357E"/>
    <w:rsid w:val="007936AF"/>
    <w:rsid w:val="00796573"/>
    <w:rsid w:val="007A1302"/>
    <w:rsid w:val="007A52F0"/>
    <w:rsid w:val="007B05C0"/>
    <w:rsid w:val="007B2580"/>
    <w:rsid w:val="007B2945"/>
    <w:rsid w:val="007C0051"/>
    <w:rsid w:val="007C29FB"/>
    <w:rsid w:val="007C38B7"/>
    <w:rsid w:val="007D6D30"/>
    <w:rsid w:val="007E1CD7"/>
    <w:rsid w:val="007E3ED0"/>
    <w:rsid w:val="007E4642"/>
    <w:rsid w:val="007E5077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2B0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D7AD8"/>
    <w:rsid w:val="008F2F9B"/>
    <w:rsid w:val="008F3BE1"/>
    <w:rsid w:val="008F6B90"/>
    <w:rsid w:val="008F7867"/>
    <w:rsid w:val="00903030"/>
    <w:rsid w:val="00911517"/>
    <w:rsid w:val="00915359"/>
    <w:rsid w:val="00917779"/>
    <w:rsid w:val="00920A93"/>
    <w:rsid w:val="00926A33"/>
    <w:rsid w:val="00927A7C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418"/>
    <w:rsid w:val="00A12FCB"/>
    <w:rsid w:val="00A13C66"/>
    <w:rsid w:val="00A14F2C"/>
    <w:rsid w:val="00A163A8"/>
    <w:rsid w:val="00A229AF"/>
    <w:rsid w:val="00A23791"/>
    <w:rsid w:val="00A27251"/>
    <w:rsid w:val="00A32ECF"/>
    <w:rsid w:val="00A33192"/>
    <w:rsid w:val="00A332A3"/>
    <w:rsid w:val="00A37F09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DEF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107A2"/>
    <w:rsid w:val="00B22E18"/>
    <w:rsid w:val="00B34D96"/>
    <w:rsid w:val="00B363B0"/>
    <w:rsid w:val="00B3795D"/>
    <w:rsid w:val="00B405C3"/>
    <w:rsid w:val="00B622A4"/>
    <w:rsid w:val="00B6628D"/>
    <w:rsid w:val="00B66FE0"/>
    <w:rsid w:val="00B7340B"/>
    <w:rsid w:val="00B73AB5"/>
    <w:rsid w:val="00B77D29"/>
    <w:rsid w:val="00B90DF9"/>
    <w:rsid w:val="00B91F9D"/>
    <w:rsid w:val="00BB6111"/>
    <w:rsid w:val="00BB673E"/>
    <w:rsid w:val="00BB69BE"/>
    <w:rsid w:val="00BB7234"/>
    <w:rsid w:val="00BC22AC"/>
    <w:rsid w:val="00BC2505"/>
    <w:rsid w:val="00BC5DE9"/>
    <w:rsid w:val="00BD2073"/>
    <w:rsid w:val="00BD4AB2"/>
    <w:rsid w:val="00BE1B60"/>
    <w:rsid w:val="00BE6911"/>
    <w:rsid w:val="00BF03CF"/>
    <w:rsid w:val="00BF6F91"/>
    <w:rsid w:val="00C02A89"/>
    <w:rsid w:val="00C049D3"/>
    <w:rsid w:val="00C05EF5"/>
    <w:rsid w:val="00C07B98"/>
    <w:rsid w:val="00C10D6A"/>
    <w:rsid w:val="00C11008"/>
    <w:rsid w:val="00C20918"/>
    <w:rsid w:val="00C20A19"/>
    <w:rsid w:val="00C21835"/>
    <w:rsid w:val="00C25EBD"/>
    <w:rsid w:val="00C32CDA"/>
    <w:rsid w:val="00C400AE"/>
    <w:rsid w:val="00C41931"/>
    <w:rsid w:val="00C52908"/>
    <w:rsid w:val="00C73D5C"/>
    <w:rsid w:val="00C76FAA"/>
    <w:rsid w:val="00C77536"/>
    <w:rsid w:val="00C80A14"/>
    <w:rsid w:val="00C84118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E73A8"/>
    <w:rsid w:val="00CF394B"/>
    <w:rsid w:val="00CF4C60"/>
    <w:rsid w:val="00CF5DC4"/>
    <w:rsid w:val="00CF6540"/>
    <w:rsid w:val="00D03175"/>
    <w:rsid w:val="00D04214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7B25"/>
    <w:rsid w:val="00D500DA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C096B"/>
    <w:rsid w:val="00DC0D3E"/>
    <w:rsid w:val="00DC6284"/>
    <w:rsid w:val="00DC726A"/>
    <w:rsid w:val="00DD20CE"/>
    <w:rsid w:val="00DD3CAD"/>
    <w:rsid w:val="00DD555D"/>
    <w:rsid w:val="00DD74D2"/>
    <w:rsid w:val="00DE4C1D"/>
    <w:rsid w:val="00DF1DA6"/>
    <w:rsid w:val="00DF25A3"/>
    <w:rsid w:val="00DF7463"/>
    <w:rsid w:val="00DF792D"/>
    <w:rsid w:val="00E100FA"/>
    <w:rsid w:val="00E115A2"/>
    <w:rsid w:val="00E11F41"/>
    <w:rsid w:val="00E134C0"/>
    <w:rsid w:val="00E22692"/>
    <w:rsid w:val="00E32B9F"/>
    <w:rsid w:val="00E33F0F"/>
    <w:rsid w:val="00E36336"/>
    <w:rsid w:val="00E4028C"/>
    <w:rsid w:val="00E43612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E0649"/>
    <w:rsid w:val="00EF040B"/>
    <w:rsid w:val="00EF0E6E"/>
    <w:rsid w:val="00EF1BDF"/>
    <w:rsid w:val="00EF78FB"/>
    <w:rsid w:val="00F110EA"/>
    <w:rsid w:val="00F21B0C"/>
    <w:rsid w:val="00F22366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26</cp:revision>
  <dcterms:created xsi:type="dcterms:W3CDTF">2016-11-10T14:54:00Z</dcterms:created>
  <dcterms:modified xsi:type="dcterms:W3CDTF">2016-11-15T14:26:00Z</dcterms:modified>
</cp:coreProperties>
</file>